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61" w:rsidRPr="00C50CF2" w:rsidRDefault="000A5B61" w:rsidP="000A5B61">
      <w:pPr>
        <w:tabs>
          <w:tab w:val="left" w:pos="361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5B61" w:rsidRPr="00025413" w:rsidRDefault="000A5B61" w:rsidP="000A5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АДМИНИСТРАЦИЯ</w:t>
      </w:r>
    </w:p>
    <w:p w:rsidR="000A5B61" w:rsidRPr="00025413" w:rsidRDefault="000A5B61" w:rsidP="000A5B61">
      <w:pPr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 xml:space="preserve">РАЗДОЛЬНЫЙ СЕЛЬСОВЕТ </w:t>
      </w:r>
      <w:r w:rsidRPr="00025413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0A5B61" w:rsidRPr="00025413" w:rsidRDefault="000A5B61" w:rsidP="000A5B6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413">
        <w:rPr>
          <w:rFonts w:ascii="Times New Roman" w:hAnsi="Times New Roman"/>
          <w:b/>
          <w:sz w:val="28"/>
          <w:szCs w:val="28"/>
        </w:rPr>
        <w:t>ПОСТАНОВЛЕНИЕ</w:t>
      </w:r>
    </w:p>
    <w:p w:rsidR="000A5B61" w:rsidRPr="00025413" w:rsidRDefault="000A5B61" w:rsidP="000A5B61">
      <w:pPr>
        <w:tabs>
          <w:tab w:val="left" w:pos="3975"/>
          <w:tab w:val="center" w:pos="49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Pr="000254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Междуречье</w:t>
      </w:r>
    </w:p>
    <w:p w:rsidR="000A5B61" w:rsidRPr="00025413" w:rsidRDefault="000A5B61" w:rsidP="000A5B61">
      <w:pPr>
        <w:jc w:val="center"/>
        <w:rPr>
          <w:rFonts w:ascii="Times New Roman" w:hAnsi="Times New Roman"/>
          <w:sz w:val="28"/>
          <w:szCs w:val="28"/>
        </w:rPr>
      </w:pPr>
    </w:p>
    <w:p w:rsidR="000A5B61" w:rsidRPr="00025413" w:rsidRDefault="00C83E08" w:rsidP="000A5B61">
      <w:pPr>
        <w:tabs>
          <w:tab w:val="left" w:pos="67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A5B61">
        <w:rPr>
          <w:rFonts w:ascii="Times New Roman" w:hAnsi="Times New Roman"/>
          <w:sz w:val="28"/>
          <w:szCs w:val="28"/>
        </w:rPr>
        <w:t xml:space="preserve">.11.2022       </w:t>
      </w:r>
      <w:r w:rsidR="000A5B61">
        <w:rPr>
          <w:rFonts w:ascii="Times New Roman" w:hAnsi="Times New Roman"/>
          <w:sz w:val="28"/>
          <w:szCs w:val="28"/>
        </w:rPr>
        <w:tab/>
      </w:r>
      <w:r w:rsidR="000A5B61">
        <w:rPr>
          <w:rFonts w:ascii="Times New Roman" w:hAnsi="Times New Roman"/>
          <w:sz w:val="28"/>
          <w:szCs w:val="28"/>
        </w:rPr>
        <w:tab/>
      </w:r>
      <w:r w:rsidR="000A5B61">
        <w:rPr>
          <w:rFonts w:ascii="Times New Roman" w:hAnsi="Times New Roman"/>
          <w:sz w:val="28"/>
          <w:szCs w:val="28"/>
        </w:rPr>
        <w:tab/>
        <w:t xml:space="preserve">                                           №49-п</w:t>
      </w:r>
    </w:p>
    <w:p w:rsidR="000A5B61" w:rsidRDefault="000A5B61" w:rsidP="000A5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5B61" w:rsidRPr="00C50CF2" w:rsidRDefault="000A5B61" w:rsidP="000A5B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5B61" w:rsidRPr="00A51901" w:rsidRDefault="000A5B61" w:rsidP="000A5B61">
      <w:pPr>
        <w:jc w:val="center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>О проекте 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r w:rsidRPr="00A51901">
        <w:rPr>
          <w:rFonts w:ascii="Times New Roman" w:hAnsi="Times New Roman"/>
          <w:sz w:val="28"/>
          <w:szCs w:val="28"/>
        </w:rPr>
        <w:t>Беляевского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sz w:val="28"/>
          <w:szCs w:val="28"/>
        </w:rPr>
        <w:t xml:space="preserve"> период 2024 и 2025</w:t>
      </w:r>
      <w:r w:rsidRPr="00A5190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0A5B61" w:rsidRPr="00A51901" w:rsidRDefault="000A5B61" w:rsidP="000A5B61">
      <w:pPr>
        <w:jc w:val="both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 xml:space="preserve">         Рассмотрев проект 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Раздольный сельсовет</w:t>
      </w:r>
      <w:r w:rsidRPr="00A51901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</w:t>
      </w:r>
      <w:r w:rsidR="000C0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sz w:val="28"/>
          <w:szCs w:val="28"/>
        </w:rPr>
        <w:t xml:space="preserve"> период 2023 и 2025</w:t>
      </w:r>
      <w:r w:rsidRPr="00A51901">
        <w:rPr>
          <w:rFonts w:ascii="Times New Roman" w:hAnsi="Times New Roman"/>
          <w:sz w:val="28"/>
          <w:szCs w:val="28"/>
        </w:rPr>
        <w:t>годов,  п о с т а н о в л я ю:</w:t>
      </w:r>
    </w:p>
    <w:p w:rsidR="000A5B61" w:rsidRPr="00A51901" w:rsidRDefault="000A5B61" w:rsidP="000A5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>Одобрить:</w:t>
      </w:r>
    </w:p>
    <w:p w:rsidR="000A5B61" w:rsidRPr="00A51901" w:rsidRDefault="000A5B61" w:rsidP="000A5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Pr="00A51901">
        <w:rPr>
          <w:rFonts w:ascii="Times New Roman" w:hAnsi="Times New Roman"/>
          <w:sz w:val="28"/>
          <w:szCs w:val="28"/>
        </w:rPr>
        <w:t xml:space="preserve">) Основные направления налоговой политики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на </w:t>
      </w:r>
      <w:r>
        <w:rPr>
          <w:rFonts w:ascii="Times New Roman" w:hAnsi="Times New Roman"/>
          <w:sz w:val="28"/>
          <w:szCs w:val="28"/>
        </w:rPr>
        <w:t>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sz w:val="28"/>
          <w:szCs w:val="28"/>
        </w:rPr>
        <w:t xml:space="preserve"> период 2024 и 2025</w:t>
      </w:r>
      <w:r w:rsidRPr="00A5190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(приложение 1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0A5B61" w:rsidRPr="00A51901" w:rsidRDefault="000A5B61" w:rsidP="000A5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Pr="00A51901">
        <w:rPr>
          <w:rFonts w:ascii="Times New Roman" w:hAnsi="Times New Roman"/>
          <w:sz w:val="28"/>
          <w:szCs w:val="28"/>
        </w:rPr>
        <w:t xml:space="preserve">) Основные направления бюджетной политики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r>
        <w:rPr>
          <w:rFonts w:ascii="Times New Roman" w:hAnsi="Times New Roman"/>
          <w:sz w:val="28"/>
          <w:szCs w:val="28"/>
        </w:rPr>
        <w:t>на 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sz w:val="28"/>
          <w:szCs w:val="28"/>
        </w:rPr>
        <w:t xml:space="preserve"> период 2024 и 2025</w:t>
      </w:r>
      <w:r w:rsidRPr="00A5190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(приложение 2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0A5B61" w:rsidRPr="00A51901" w:rsidRDefault="000A5B61" w:rsidP="000A5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51901">
        <w:rPr>
          <w:rFonts w:ascii="Times New Roman" w:hAnsi="Times New Roman"/>
          <w:sz w:val="28"/>
          <w:szCs w:val="28"/>
        </w:rPr>
        <w:t xml:space="preserve">) Основные показатели проекта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r>
        <w:rPr>
          <w:rFonts w:ascii="Times New Roman" w:hAnsi="Times New Roman"/>
          <w:sz w:val="28"/>
          <w:szCs w:val="28"/>
        </w:rPr>
        <w:t>на 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sz w:val="28"/>
          <w:szCs w:val="28"/>
        </w:rPr>
        <w:t xml:space="preserve"> период 2024 и 2025</w:t>
      </w:r>
      <w:r w:rsidRPr="00A51901">
        <w:rPr>
          <w:rFonts w:ascii="Times New Roman" w:hAnsi="Times New Roman"/>
          <w:sz w:val="28"/>
          <w:szCs w:val="28"/>
        </w:rPr>
        <w:t xml:space="preserve"> годов, </w:t>
      </w:r>
      <w:r>
        <w:rPr>
          <w:rFonts w:ascii="Times New Roman" w:hAnsi="Times New Roman"/>
          <w:sz w:val="28"/>
          <w:szCs w:val="28"/>
        </w:rPr>
        <w:t>(приложение 3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0A5B61" w:rsidRPr="00C50CF2" w:rsidRDefault="000A5B61" w:rsidP="000A5B61">
      <w:pPr>
        <w:suppressAutoHyphens/>
        <w:spacing w:before="20" w:after="2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50CF2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0A5B61" w:rsidRPr="00C50CF2" w:rsidRDefault="000A5B61" w:rsidP="000A5B61">
      <w:pPr>
        <w:suppressAutoHyphens/>
        <w:spacing w:before="20" w:after="2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50CF2">
        <w:rPr>
          <w:rFonts w:ascii="Times New Roman" w:hAnsi="Times New Roman"/>
          <w:sz w:val="28"/>
          <w:szCs w:val="28"/>
          <w:lang w:eastAsia="ru-RU"/>
        </w:rPr>
        <w:t>Постановление вступа</w:t>
      </w:r>
      <w:r>
        <w:rPr>
          <w:rFonts w:ascii="Times New Roman" w:hAnsi="Times New Roman"/>
          <w:sz w:val="28"/>
          <w:szCs w:val="28"/>
          <w:lang w:eastAsia="ru-RU"/>
        </w:rPr>
        <w:t xml:space="preserve">ет в силу со дня его подписания и подлежит опубликованию на сайте администрации </w:t>
      </w:r>
      <w:r>
        <w:rPr>
          <w:rFonts w:ascii="Times New Roman" w:hAnsi="Times New Roman"/>
          <w:bCs/>
          <w:sz w:val="28"/>
          <w:szCs w:val="28"/>
        </w:rPr>
        <w:t>Раздольный сельсовет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5B61" w:rsidRPr="00C50CF2" w:rsidRDefault="000A5B61" w:rsidP="000A5B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5B61" w:rsidRPr="00C50CF2" w:rsidRDefault="000A5B61" w:rsidP="000A5B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5B61" w:rsidRPr="00C50CF2" w:rsidRDefault="000A5B61" w:rsidP="000A5B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5B61" w:rsidRDefault="000A5B61" w:rsidP="000A5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Глава муниципального образования                                    К.К.Нурмухамбетов</w:t>
      </w:r>
    </w:p>
    <w:p w:rsidR="000A5B61" w:rsidRDefault="000A5B61" w:rsidP="000A5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B61" w:rsidRPr="00C50CF2" w:rsidRDefault="000A5B61" w:rsidP="000A5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B61" w:rsidRPr="00C50CF2" w:rsidRDefault="000A5B61" w:rsidP="000A5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>Разослано: бухгалтерии сельсовета, финансовый отдел администрации Беляевского района, прокурору района, в дело</w:t>
      </w:r>
    </w:p>
    <w:p w:rsidR="000A5B61" w:rsidRDefault="000A5B61" w:rsidP="000A5B61">
      <w:pPr>
        <w:tabs>
          <w:tab w:val="left" w:pos="6000"/>
        </w:tabs>
      </w:pPr>
    </w:p>
    <w:tbl>
      <w:tblPr>
        <w:tblpPr w:leftFromText="180" w:rightFromText="180" w:vertAnchor="text" w:horzAnchor="margin" w:tblpXSpec="right" w:tblpY="341"/>
        <w:tblW w:w="5211" w:type="dxa"/>
        <w:tblLook w:val="0000"/>
      </w:tblPr>
      <w:tblGrid>
        <w:gridCol w:w="5211"/>
      </w:tblGrid>
      <w:tr w:rsidR="000A5B61" w:rsidRPr="00F84FAD" w:rsidTr="00DC6C2E">
        <w:trPr>
          <w:trHeight w:val="1408"/>
        </w:trPr>
        <w:tc>
          <w:tcPr>
            <w:tcW w:w="5211" w:type="dxa"/>
          </w:tcPr>
          <w:p w:rsidR="000A5B61" w:rsidRPr="00025413" w:rsidRDefault="000A5B61" w:rsidP="00DC6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5B61" w:rsidRPr="00025413" w:rsidRDefault="000A5B61" w:rsidP="00DC6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0A5B61" w:rsidRDefault="000A5B61" w:rsidP="00DC6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Pr="00250D97">
              <w:rPr>
                <w:rFonts w:ascii="Times New Roman" w:hAnsi="Times New Roman"/>
                <w:bCs/>
              </w:rPr>
              <w:t>Раздольный сельсовет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Беляевского района Оренбургской области </w:t>
            </w:r>
          </w:p>
          <w:p w:rsidR="000A5B61" w:rsidRPr="00025413" w:rsidRDefault="00C83E08" w:rsidP="00DC6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 14</w:t>
            </w:r>
            <w:r w:rsidR="000A5B61">
              <w:rPr>
                <w:rFonts w:ascii="Times New Roman" w:hAnsi="Times New Roman"/>
                <w:sz w:val="24"/>
                <w:szCs w:val="24"/>
                <w:lang w:eastAsia="ru-RU"/>
              </w:rPr>
              <w:t>.11.2022  №49-п</w:t>
            </w:r>
          </w:p>
        </w:tc>
      </w:tr>
    </w:tbl>
    <w:p w:rsidR="000A5B61" w:rsidRDefault="000A5B61" w:rsidP="000A5B61"/>
    <w:p w:rsidR="000A5B61" w:rsidRPr="001831D9" w:rsidRDefault="000A5B61" w:rsidP="000A5B61"/>
    <w:p w:rsidR="000A5B61" w:rsidRPr="001831D9" w:rsidRDefault="000A5B61" w:rsidP="000A5B61"/>
    <w:p w:rsidR="000A5B61" w:rsidRPr="007E178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Pr="000E2F4C" w:rsidRDefault="000A5B61" w:rsidP="000A5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Pr="00026AC9" w:rsidRDefault="000A5B61" w:rsidP="000A5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004C5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налоговой политики </w:t>
      </w:r>
      <w:r w:rsidRPr="009004C5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2023год и на плановый период 2024 и 2025</w:t>
      </w:r>
      <w:r w:rsidRPr="00026AC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A5B61" w:rsidRDefault="000A5B61" w:rsidP="000A5B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pStyle w:val="a6"/>
        <w:ind w:firstLine="709"/>
        <w:jc w:val="both"/>
        <w:rPr>
          <w:sz w:val="28"/>
          <w:szCs w:val="28"/>
        </w:rPr>
      </w:pPr>
      <w:r w:rsidRPr="00F258A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Раздольного сельсовета </w:t>
      </w:r>
      <w:r w:rsidRPr="00F258AE">
        <w:rPr>
          <w:rFonts w:ascii="Times New Roman" w:hAnsi="Times New Roman" w:cs="Times New Roman"/>
          <w:bCs/>
          <w:sz w:val="28"/>
          <w:szCs w:val="28"/>
        </w:rPr>
        <w:t xml:space="preserve">Беляевского района </w:t>
      </w:r>
      <w:r w:rsidRPr="00F258AE">
        <w:rPr>
          <w:rFonts w:ascii="Times New Roman" w:hAnsi="Times New Roman" w:cs="Times New Roman"/>
          <w:sz w:val="28"/>
          <w:szCs w:val="28"/>
        </w:rPr>
        <w:t xml:space="preserve">на </w:t>
      </w:r>
      <w:r w:rsidRPr="00F258AE">
        <w:rPr>
          <w:rFonts w:ascii="Times New Roman" w:hAnsi="Times New Roman" w:cs="Times New Roman"/>
          <w:bCs/>
          <w:sz w:val="28"/>
          <w:szCs w:val="28"/>
        </w:rPr>
        <w:t>2023 год и на плановый период 2024 и 2025</w:t>
      </w:r>
      <w:r w:rsidRPr="00F258A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с учетом стратегических целей, сформулированных в </w:t>
      </w:r>
      <w:r>
        <w:rPr>
          <w:rFonts w:ascii="Times New Roman" w:hAnsi="Times New Roman" w:cs="Times New Roman"/>
          <w:bCs/>
          <w:sz w:val="28"/>
          <w:szCs w:val="28"/>
        </w:rPr>
        <w:t>посланиях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указах Президента Российской Федерации от 7 мая 2018 года № 204 «О национальных целях и стратегических задачах развития Российской Федерации на период до 2024 года» (далее – Указ Президента от 7 мая 2018 года), от 21 июля 2020 года № 474 «О национальных целях развития Российской Федерации на период до 2030 года» (далее – Указ Президента от 21 июля 2020 года), </w:t>
      </w:r>
      <w:r>
        <w:rPr>
          <w:rFonts w:ascii="Times New Roman" w:hAnsi="Times New Roman" w:cs="Times New Roman"/>
          <w:bCs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развития Беляевского района до 2020 года и на период до 2030 года, </w:t>
      </w:r>
      <w:r>
        <w:rPr>
          <w:rFonts w:ascii="Times New Roman" w:hAnsi="Times New Roman" w:cs="Times New Roman"/>
          <w:bCs/>
          <w:sz w:val="28"/>
          <w:szCs w:val="28"/>
        </w:rPr>
        <w:t>бюджетном прогнозе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на долгосрочный период до 2030 года, </w:t>
      </w:r>
      <w:r w:rsidRPr="00F258AE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Раздольного сельсовета </w:t>
      </w:r>
      <w:r w:rsidRPr="00F258AE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программы).</w:t>
      </w:r>
    </w:p>
    <w:p w:rsidR="000A5B61" w:rsidRDefault="000A5B61" w:rsidP="000A5B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определении бюджетной и налоговой политики на ближайшую перспективу использованы сценарные условия социально-экономического развития МО Раздольный сельсовет Беляевского района на 2023 год и плановый период 2024 и 2025 годов.</w:t>
      </w:r>
    </w:p>
    <w:p w:rsidR="000A5B61" w:rsidRPr="00DC44F3" w:rsidRDefault="000A5B61" w:rsidP="000A5B61">
      <w:pPr>
        <w:rPr>
          <w:lang w:eastAsia="ru-RU"/>
        </w:rPr>
      </w:pPr>
    </w:p>
    <w:p w:rsidR="000A5B61" w:rsidRPr="00DC44F3" w:rsidRDefault="000A5B61" w:rsidP="000A5B61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Итоги реализации бюджетной и налоговой политики в 2021 году</w:t>
      </w:r>
    </w:p>
    <w:p w:rsidR="000A5B61" w:rsidRPr="00DC44F3" w:rsidRDefault="000A5B61" w:rsidP="000A5B61">
      <w:pPr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и первой половине 2022 года</w:t>
      </w:r>
    </w:p>
    <w:p w:rsidR="000A5B61" w:rsidRPr="00DC44F3" w:rsidRDefault="000A5B61" w:rsidP="000A5B61">
      <w:pPr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Доходы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0A5B61" w:rsidRDefault="000A5B61" w:rsidP="000A5B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4F3">
        <w:rPr>
          <w:sz w:val="28"/>
          <w:szCs w:val="28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</w:t>
      </w:r>
      <w:r>
        <w:rPr>
          <w:sz w:val="28"/>
          <w:szCs w:val="28"/>
        </w:rPr>
        <w:t xml:space="preserve">темы муниципального образования. </w:t>
      </w:r>
    </w:p>
    <w:p w:rsidR="000A5B61" w:rsidRPr="00DC44F3" w:rsidRDefault="000A5B61" w:rsidP="000A5B61">
      <w:pPr>
        <w:pStyle w:val="a5"/>
        <w:spacing w:before="0" w:beforeAutospacing="0" w:after="0" w:afterAutospacing="0"/>
        <w:ind w:firstLine="709"/>
        <w:jc w:val="both"/>
      </w:pPr>
      <w:r w:rsidRPr="00DC44F3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поселения</w:t>
      </w:r>
      <w:r w:rsidRPr="00DC44F3">
        <w:rPr>
          <w:sz w:val="28"/>
          <w:szCs w:val="28"/>
        </w:rPr>
        <w:t xml:space="preserve"> обеспечено в 2021 году с положительными результатами.</w:t>
      </w:r>
    </w:p>
    <w:p w:rsidR="000A5B61" w:rsidRPr="00DC44F3" w:rsidRDefault="000A5B61" w:rsidP="000A5B61">
      <w:pPr>
        <w:pStyle w:val="a5"/>
        <w:spacing w:before="0" w:beforeAutospacing="0" w:after="0" w:afterAutospacing="0"/>
        <w:jc w:val="both"/>
      </w:pPr>
      <w:r w:rsidRPr="00DC44F3">
        <w:rPr>
          <w:sz w:val="28"/>
          <w:szCs w:val="28"/>
        </w:rPr>
        <w:t xml:space="preserve">По доходам показатели исполнены в объеме </w:t>
      </w:r>
      <w:r>
        <w:rPr>
          <w:sz w:val="28"/>
          <w:szCs w:val="28"/>
        </w:rPr>
        <w:t xml:space="preserve">4847,3 </w:t>
      </w:r>
      <w:r w:rsidRPr="00DC44F3">
        <w:rPr>
          <w:sz w:val="28"/>
          <w:szCs w:val="28"/>
        </w:rPr>
        <w:t xml:space="preserve">тыс. рублей, что составило </w:t>
      </w:r>
      <w:r>
        <w:rPr>
          <w:sz w:val="28"/>
          <w:szCs w:val="28"/>
        </w:rPr>
        <w:t>97,7</w:t>
      </w:r>
      <w:r w:rsidRPr="00DC44F3">
        <w:rPr>
          <w:sz w:val="28"/>
          <w:szCs w:val="28"/>
        </w:rPr>
        <w:t xml:space="preserve"> процента к годовым назначениям, с</w:t>
      </w:r>
      <w:r>
        <w:rPr>
          <w:sz w:val="28"/>
          <w:szCs w:val="28"/>
        </w:rPr>
        <w:t>о</w:t>
      </w:r>
      <w:r w:rsidRPr="00DC44F3">
        <w:rPr>
          <w:sz w:val="28"/>
          <w:szCs w:val="28"/>
        </w:rPr>
        <w:t xml:space="preserve"> значительным </w:t>
      </w:r>
      <w:r>
        <w:rPr>
          <w:sz w:val="28"/>
          <w:szCs w:val="28"/>
        </w:rPr>
        <w:t>увеличением к 2020 году на 35</w:t>
      </w:r>
      <w:r w:rsidRPr="00DC44F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C44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C44F3">
        <w:rPr>
          <w:sz w:val="28"/>
          <w:szCs w:val="28"/>
        </w:rPr>
        <w:t>.</w:t>
      </w:r>
    </w:p>
    <w:p w:rsidR="000A5B61" w:rsidRPr="00DC44F3" w:rsidRDefault="000A5B61" w:rsidP="000A5B61">
      <w:pPr>
        <w:pStyle w:val="a5"/>
        <w:spacing w:before="0" w:beforeAutospacing="0" w:after="0" w:afterAutospacing="0"/>
        <w:ind w:firstLine="708"/>
        <w:jc w:val="both"/>
      </w:pPr>
      <w:r w:rsidRPr="00DC44F3">
        <w:rPr>
          <w:sz w:val="28"/>
          <w:szCs w:val="28"/>
        </w:rPr>
        <w:lastRenderedPageBreak/>
        <w:t xml:space="preserve">Собственные доходы бюджета поступили в объеме </w:t>
      </w:r>
      <w:r>
        <w:rPr>
          <w:sz w:val="28"/>
          <w:szCs w:val="28"/>
        </w:rPr>
        <w:t xml:space="preserve">3761,0 тыс. рублей, больше на 275,9 тыс. рублей к  </w:t>
      </w:r>
      <w:r w:rsidRPr="00DC44F3">
        <w:rPr>
          <w:sz w:val="28"/>
          <w:szCs w:val="28"/>
        </w:rPr>
        <w:t xml:space="preserve"> 2020 году, или на </w:t>
      </w:r>
      <w:r>
        <w:rPr>
          <w:sz w:val="28"/>
          <w:szCs w:val="28"/>
        </w:rPr>
        <w:t>7</w:t>
      </w:r>
      <w:r w:rsidRPr="00DC44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C44F3">
        <w:rPr>
          <w:sz w:val="28"/>
          <w:szCs w:val="28"/>
        </w:rPr>
        <w:t xml:space="preserve"> процент.</w:t>
      </w:r>
    </w:p>
    <w:p w:rsidR="000A5B61" w:rsidRPr="00DC44F3" w:rsidRDefault="000A5B61" w:rsidP="000A5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sz w:val="28"/>
          <w:szCs w:val="28"/>
        </w:rPr>
        <w:t>Основную часть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C44F3">
        <w:rPr>
          <w:rFonts w:ascii="Times New Roman" w:hAnsi="Times New Roman"/>
          <w:sz w:val="28"/>
          <w:szCs w:val="28"/>
        </w:rPr>
        <w:t xml:space="preserve"> обеспечили поступления от </w:t>
      </w:r>
      <w:r>
        <w:rPr>
          <w:rFonts w:ascii="Times New Roman" w:hAnsi="Times New Roman"/>
          <w:sz w:val="28"/>
          <w:szCs w:val="28"/>
        </w:rPr>
        <w:t>а</w:t>
      </w:r>
      <w:r w:rsidRPr="00CB01A3">
        <w:rPr>
          <w:rFonts w:ascii="Times New Roman" w:hAnsi="Times New Roman"/>
          <w:sz w:val="28"/>
          <w:szCs w:val="28"/>
        </w:rPr>
        <w:t>кциз</w:t>
      </w:r>
      <w:r>
        <w:rPr>
          <w:rFonts w:ascii="Times New Roman" w:hAnsi="Times New Roman"/>
          <w:sz w:val="28"/>
          <w:szCs w:val="28"/>
        </w:rPr>
        <w:t>ов</w:t>
      </w:r>
      <w:r w:rsidRPr="00CB01A3">
        <w:rPr>
          <w:rFonts w:ascii="Times New Roman" w:hAnsi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DC44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диного сельскохозяйственного</w:t>
      </w:r>
      <w:r w:rsidRPr="001539D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а и земельного налога</w:t>
      </w:r>
      <w:r w:rsidRPr="00DC44F3">
        <w:rPr>
          <w:rFonts w:ascii="Times New Roman" w:hAnsi="Times New Roman"/>
          <w:sz w:val="28"/>
          <w:szCs w:val="28"/>
        </w:rPr>
        <w:t xml:space="preserve"> доля поступления которых в общей сумме налоговых и неналоговых поступлений составила </w:t>
      </w:r>
      <w:r>
        <w:rPr>
          <w:rFonts w:ascii="Times New Roman" w:hAnsi="Times New Roman"/>
          <w:sz w:val="28"/>
          <w:szCs w:val="28"/>
        </w:rPr>
        <w:t>18</w:t>
      </w:r>
      <w:r w:rsidRPr="00DC44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</w:t>
      </w:r>
      <w:r w:rsidRPr="00DC44F3">
        <w:rPr>
          <w:rFonts w:ascii="Times New Roman" w:hAnsi="Times New Roman"/>
          <w:sz w:val="28"/>
          <w:szCs w:val="28"/>
        </w:rPr>
        <w:t xml:space="preserve"> %. </w:t>
      </w:r>
    </w:p>
    <w:p w:rsidR="000A5B61" w:rsidRPr="00DC44F3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sz w:val="28"/>
          <w:szCs w:val="28"/>
        </w:rPr>
        <w:t xml:space="preserve">Существенное влияние на уровень поступлений налоговых и неналоговых доходов в бюджет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C44F3">
        <w:rPr>
          <w:rStyle w:val="markedcontent"/>
          <w:rFonts w:ascii="Times New Roman" w:hAnsi="Times New Roman"/>
          <w:sz w:val="28"/>
          <w:szCs w:val="28"/>
        </w:rPr>
        <w:t>обеспечено за счет активизации экономики и бизнеса в виду снятия ковидных ограничений.</w:t>
      </w:r>
    </w:p>
    <w:p w:rsidR="000A5B61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4F3">
        <w:rPr>
          <w:rFonts w:ascii="Times New Roman" w:hAnsi="Times New Roman"/>
          <w:color w:val="000000"/>
          <w:sz w:val="28"/>
          <w:szCs w:val="28"/>
        </w:rPr>
        <w:t>На исполнение налоговых и неналоговых доходов бюджета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>в отчетном году оказали влияние изменения федерального и регионального законодательства: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>значительное расширение с 1 января 2021 года перечня видов предпринимательской деятельности, в отношении которых на территории Оренбургской области может применяться патентная система налогообложения (Закон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4F3">
        <w:rPr>
          <w:rFonts w:ascii="Times New Roman" w:hAnsi="Times New Roman"/>
          <w:color w:val="000000"/>
          <w:sz w:val="28"/>
          <w:szCs w:val="28"/>
        </w:rPr>
        <w:t>Оренбургской области от 26 ноября 2020 года № 2497/693-VI-ОЗ «О внесении изменений в Закон Оренбургской области «О патентной системе налого</w:t>
      </w:r>
      <w:r>
        <w:rPr>
          <w:rFonts w:ascii="Times New Roman" w:hAnsi="Times New Roman"/>
          <w:color w:val="000000"/>
          <w:sz w:val="28"/>
          <w:szCs w:val="28"/>
        </w:rPr>
        <w:t>обложения»).</w:t>
      </w:r>
    </w:p>
    <w:p w:rsidR="000A5B61" w:rsidRPr="00434A97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color w:val="000000"/>
          <w:sz w:val="28"/>
          <w:szCs w:val="28"/>
        </w:rPr>
        <w:t>С 1 сентября 2022 года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 и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носят целевой характер и могут быть направлены только на выполнение природоохранных мероприятий (Федеральный закон от 30 декабря 2021 года № 446-ФЗ «О внесении изменений в Федеральный закон «Об охране окружающей среды» и отдельные законодательные акты Российской Федерации»).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внесенными изменениями в 2022 году на озеленение поселка планируется направить 50,0 тыс.рублей.</w:t>
      </w:r>
    </w:p>
    <w:p w:rsidR="000A5B61" w:rsidRDefault="000A5B61" w:rsidP="000A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12"/>
    </w:p>
    <w:p w:rsidR="000A5B61" w:rsidRDefault="000A5B61" w:rsidP="000A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7E90">
        <w:rPr>
          <w:rFonts w:ascii="Times New Roman" w:hAnsi="Times New Roman"/>
          <w:bCs/>
          <w:sz w:val="28"/>
          <w:szCs w:val="28"/>
        </w:rPr>
        <w:t>Расходы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0A5B61" w:rsidRPr="00647E90" w:rsidRDefault="000A5B61" w:rsidP="000A5B61">
      <w:pPr>
        <w:spacing w:after="0" w:line="240" w:lineRule="auto"/>
        <w:jc w:val="center"/>
        <w:rPr>
          <w:rFonts w:ascii="Times New Roman" w:hAnsi="Times New Roman"/>
        </w:rPr>
      </w:pPr>
    </w:p>
    <w:bookmarkEnd w:id="0"/>
    <w:p w:rsidR="000A5B61" w:rsidRPr="00647E90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В 2021 году исполнение бюджета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647E90">
        <w:rPr>
          <w:rFonts w:ascii="Times New Roman" w:hAnsi="Times New Roman"/>
          <w:sz w:val="28"/>
          <w:szCs w:val="28"/>
        </w:rPr>
        <w:t xml:space="preserve"> осуществлялось в условиях адаптации экономики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к обстоятельствам, вызванным продолжающейся пандемией новой коронавирусной инфекции. Проводимая в указанных экономических условиях бюджетная политика обеспечила сохранение устойчивости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 xml:space="preserve"> и безусловное исполнение принятых обязательств.</w:t>
      </w:r>
    </w:p>
    <w:p w:rsidR="000A5B61" w:rsidRPr="00647E90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В 2021 году была продолжена реализация мероприятий согласно указам Президента Российской Федерации от 7 мая 2012 года № 597-606 (далее – указы Президента), а также новых векторов, обозначенных в указе Президента Российской Федерации от 7 мая 2018 года.</w:t>
      </w:r>
    </w:p>
    <w:p w:rsidR="000A5B61" w:rsidRPr="00647E90" w:rsidRDefault="000A5B61" w:rsidP="000A5B6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lastRenderedPageBreak/>
        <w:t xml:space="preserve">В целях обеспечения поставленных задач осуществлялась политика ограничения расходов на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Днепровский сельсовет </w:t>
      </w:r>
      <w:r w:rsidRPr="00647E90">
        <w:rPr>
          <w:rFonts w:ascii="Times New Roman" w:hAnsi="Times New Roman"/>
          <w:sz w:val="28"/>
          <w:szCs w:val="28"/>
        </w:rPr>
        <w:t>Беляевского района, проводился комплекс мероприятий по эффективному использованию энергоресурсов, потребляемых коммунальных услуг, применялись механизмы предоставления средств под фактическую потребность.</w:t>
      </w:r>
    </w:p>
    <w:p w:rsidR="000A5B61" w:rsidRPr="00647E90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Проведение данных мероприятий позволило в 2021 году своевременно выплачивать заработную плату, производить социальные выплаты. В полном объеме были выполнены указы Президента. По итогам 2021 года  показатели средней заработной платы работников бюджетной сферы, поименованных в указах Президента, достигнуты по всем категориям. </w:t>
      </w:r>
    </w:p>
    <w:p w:rsidR="000A5B61" w:rsidRPr="00647E90" w:rsidRDefault="000A5B61" w:rsidP="000A5B6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Основу расходной части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 xml:space="preserve"> составили бюджетные ассигнования, направляемые в социальную сферу: культура и социальная политика.</w:t>
      </w:r>
    </w:p>
    <w:p w:rsidR="000A5B61" w:rsidRDefault="000A5B61" w:rsidP="000A5B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E90">
        <w:rPr>
          <w:rFonts w:ascii="Times New Roman" w:hAnsi="Times New Roman"/>
          <w:sz w:val="28"/>
          <w:szCs w:val="28"/>
        </w:rPr>
        <w:t xml:space="preserve">В 2021 году объем бюджетных ассигнований, направленных в социальную сферу, составил </w:t>
      </w:r>
      <w:r>
        <w:rPr>
          <w:rFonts w:ascii="Times New Roman" w:hAnsi="Times New Roman"/>
          <w:sz w:val="28"/>
          <w:szCs w:val="28"/>
        </w:rPr>
        <w:t>3218,5 тыс. рублей или 58</w:t>
      </w:r>
      <w:r w:rsidRPr="00647E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647E90">
        <w:rPr>
          <w:rFonts w:ascii="Times New Roman" w:hAnsi="Times New Roman"/>
          <w:sz w:val="28"/>
          <w:szCs w:val="28"/>
        </w:rPr>
        <w:t xml:space="preserve"> процента от общего объема расходов. В связи с выполнением указов Президента увеличены расходы на заработную плату </w:t>
      </w:r>
      <w:r>
        <w:rPr>
          <w:rFonts w:ascii="Times New Roman" w:hAnsi="Times New Roman"/>
          <w:sz w:val="28"/>
          <w:szCs w:val="28"/>
        </w:rPr>
        <w:t>работников культуры.</w:t>
      </w:r>
    </w:p>
    <w:p w:rsidR="000A5B61" w:rsidRPr="00647E90" w:rsidRDefault="000A5B61" w:rsidP="000A5B61">
      <w:pPr>
        <w:pStyle w:val="Default"/>
        <w:ind w:firstLine="709"/>
        <w:jc w:val="both"/>
      </w:pPr>
      <w:r w:rsidRPr="00647E90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поселения</w:t>
      </w:r>
      <w:r w:rsidRPr="00647E90">
        <w:rPr>
          <w:sz w:val="28"/>
          <w:szCs w:val="28"/>
        </w:rPr>
        <w:t xml:space="preserve"> по мероприятиям региональных проектов по итогам 2021 года составило 100 процентов.</w:t>
      </w:r>
    </w:p>
    <w:p w:rsidR="000A5B61" w:rsidRPr="00647E90" w:rsidRDefault="000A5B61" w:rsidP="000A5B61">
      <w:pPr>
        <w:pStyle w:val="Default"/>
        <w:ind w:firstLine="709"/>
        <w:jc w:val="both"/>
      </w:pPr>
      <w:r w:rsidRPr="00647E90">
        <w:rPr>
          <w:sz w:val="28"/>
          <w:szCs w:val="28"/>
        </w:rPr>
        <w:t>В полном объеме и своевременно в 2021 году выполнены все социальные обязательства перед населением района.</w:t>
      </w:r>
    </w:p>
    <w:p w:rsidR="000A5B61" w:rsidRPr="00647E90" w:rsidRDefault="000A5B61" w:rsidP="000A5B6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продолжена практика осуществления мероприятий, направленных на повышение открытости бюджетных данных. Обеспечен свободный доступ в информационно-телекоммуникационной сети «Интернет» к бюджетным данным, осуществляется публикация интернет-брошюр «Бюджет для граждан», », в актуальном состоянии поддерживается портал «Бюджет для граждан». Также на сайте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и на в информационно-телекоммуникационной сети «Интернет» размещается информация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>.</w:t>
      </w:r>
    </w:p>
    <w:p w:rsidR="000A5B61" w:rsidRPr="00647E90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направлены на развитие различных форм участия и вовлечения жителей в решение вопросов местного значения. Это инициативное бюджетирование на муниципальном уровне.</w:t>
      </w:r>
    </w:p>
    <w:p w:rsidR="000A5B61" w:rsidRPr="00647E90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По итогам 2021 года в </w:t>
      </w:r>
      <w:r>
        <w:rPr>
          <w:rFonts w:ascii="Times New Roman" w:hAnsi="Times New Roman"/>
          <w:sz w:val="28"/>
          <w:szCs w:val="28"/>
        </w:rPr>
        <w:t>поселение</w:t>
      </w:r>
      <w:r w:rsidRPr="00647E90">
        <w:rPr>
          <w:rFonts w:ascii="Times New Roman" w:hAnsi="Times New Roman"/>
          <w:sz w:val="28"/>
          <w:szCs w:val="28"/>
        </w:rPr>
        <w:t xml:space="preserve"> реализован</w:t>
      </w:r>
      <w:r>
        <w:rPr>
          <w:rFonts w:ascii="Times New Roman" w:hAnsi="Times New Roman"/>
          <w:sz w:val="28"/>
          <w:szCs w:val="28"/>
        </w:rPr>
        <w:t>о 2</w:t>
      </w:r>
      <w:r w:rsidRPr="00647E9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комплексного развития сельских территорий общей стоимостью 565,2 тыс</w:t>
      </w:r>
      <w:r w:rsidRPr="00647E90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лей, в том числе направлено на ремонт дорог– 301,9 тыс. рублей и на обустройство площадок накопления твердых коммунальных отходов – 263,3 тыс. рублей.</w:t>
      </w:r>
    </w:p>
    <w:p w:rsidR="000A5B61" w:rsidRDefault="000A5B61" w:rsidP="000A5B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1013"/>
    </w:p>
    <w:p w:rsidR="000A5B61" w:rsidRPr="00647E90" w:rsidRDefault="000A5B61" w:rsidP="000A5B61">
      <w:pPr>
        <w:spacing w:after="0" w:line="240" w:lineRule="auto"/>
        <w:jc w:val="center"/>
        <w:rPr>
          <w:rFonts w:ascii="Times New Roman" w:hAnsi="Times New Roman"/>
        </w:rPr>
      </w:pPr>
      <w:r w:rsidRPr="00647E90">
        <w:rPr>
          <w:rFonts w:ascii="Times New Roman" w:hAnsi="Times New Roman"/>
          <w:bCs/>
          <w:sz w:val="28"/>
          <w:szCs w:val="28"/>
        </w:rPr>
        <w:t>Дефицит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bookmarkEnd w:id="1"/>
    <w:p w:rsidR="000A5B61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B61" w:rsidRPr="00647E90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color w:val="000000"/>
          <w:sz w:val="28"/>
          <w:szCs w:val="28"/>
        </w:rPr>
        <w:t>В 2021 году бюджетная политика была направлена на минимизацию бюджетного дефицита. По итогам исполнения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 сложился дефицит в размере </w:t>
      </w:r>
      <w:r>
        <w:rPr>
          <w:rFonts w:ascii="Times New Roman" w:hAnsi="Times New Roman"/>
          <w:color w:val="000000"/>
          <w:sz w:val="28"/>
          <w:szCs w:val="28"/>
        </w:rPr>
        <w:t>672,6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 тыс. рублей, за счет остатков на счете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647E90">
        <w:rPr>
          <w:rFonts w:ascii="Times New Roman" w:hAnsi="Times New Roman"/>
          <w:color w:val="000000"/>
          <w:sz w:val="28"/>
          <w:szCs w:val="28"/>
        </w:rPr>
        <w:t>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на 01.11.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2022 год </w:t>
      </w:r>
      <w:r>
        <w:rPr>
          <w:rFonts w:ascii="Times New Roman" w:hAnsi="Times New Roman"/>
          <w:color w:val="000000"/>
          <w:sz w:val="28"/>
          <w:szCs w:val="28"/>
        </w:rPr>
        <w:t>утвержден сбалансированный</w:t>
      </w:r>
      <w:r w:rsidRPr="00647E90">
        <w:rPr>
          <w:rFonts w:ascii="Times New Roman" w:hAnsi="Times New Roman"/>
          <w:color w:val="000000"/>
          <w:sz w:val="28"/>
          <w:szCs w:val="28"/>
        </w:rPr>
        <w:t>.</w:t>
      </w:r>
    </w:p>
    <w:p w:rsidR="000A5B61" w:rsidRDefault="000A5B61" w:rsidP="000A5B61">
      <w:pPr>
        <w:widowControl w:val="0"/>
        <w:tabs>
          <w:tab w:val="left" w:pos="6045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7" w:tblpY="23"/>
        <w:tblW w:w="5211" w:type="dxa"/>
        <w:tblLook w:val="0000"/>
      </w:tblPr>
      <w:tblGrid>
        <w:gridCol w:w="5211"/>
      </w:tblGrid>
      <w:tr w:rsidR="000A5B61" w:rsidRPr="00025413" w:rsidTr="00DC6C2E">
        <w:trPr>
          <w:trHeight w:val="1408"/>
        </w:trPr>
        <w:tc>
          <w:tcPr>
            <w:tcW w:w="5211" w:type="dxa"/>
          </w:tcPr>
          <w:p w:rsidR="000A5B61" w:rsidRPr="00025413" w:rsidRDefault="000A5B61" w:rsidP="00DC6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A5B61" w:rsidRPr="00025413" w:rsidRDefault="000A5B61" w:rsidP="00DC6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0A5B61" w:rsidRPr="00025413" w:rsidRDefault="000A5B61" w:rsidP="000A5B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Раздольный сельсовет </w:t>
            </w: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 Беляевского района Оренбургской области</w:t>
            </w:r>
            <w:r w:rsidR="00C8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.11.2022  №-49п</w:t>
            </w:r>
          </w:p>
        </w:tc>
      </w:tr>
    </w:tbl>
    <w:p w:rsidR="000A5B61" w:rsidRDefault="000A5B61" w:rsidP="000A5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31D9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направлениябюджет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ной политики </w:t>
      </w:r>
    </w:p>
    <w:p w:rsidR="000A5B61" w:rsidRPr="00F44B4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D5A26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2023 год и на плановый период 2024 и 2025</w:t>
      </w:r>
      <w:r w:rsidRPr="00F44B44">
        <w:rPr>
          <w:rFonts w:ascii="Times New Roman" w:hAnsi="Times New Roman"/>
          <w:b/>
          <w:sz w:val="28"/>
          <w:szCs w:val="28"/>
        </w:rPr>
        <w:t xml:space="preserve"> годов</w:t>
      </w:r>
      <w:r w:rsidRPr="00F44B4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Основными ц</w:t>
      </w:r>
      <w:r>
        <w:rPr>
          <w:rFonts w:ascii="Times New Roman" w:hAnsi="Times New Roman"/>
          <w:sz w:val="28"/>
          <w:szCs w:val="28"/>
          <w:lang w:eastAsia="ru-RU"/>
        </w:rPr>
        <w:t xml:space="preserve">елями бюджетной политики на </w:t>
      </w:r>
      <w:r>
        <w:rPr>
          <w:rFonts w:ascii="Times New Roman" w:hAnsi="Times New Roman"/>
          <w:sz w:val="28"/>
          <w:szCs w:val="28"/>
        </w:rPr>
        <w:t>2023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/>
          <w:sz w:val="28"/>
          <w:szCs w:val="28"/>
        </w:rPr>
        <w:t>период 2024 и 2025</w:t>
      </w:r>
      <w:r w:rsidRPr="00A51901">
        <w:rPr>
          <w:rFonts w:ascii="Times New Roman" w:hAnsi="Times New Roman"/>
          <w:sz w:val="28"/>
          <w:szCs w:val="28"/>
        </w:rPr>
        <w:t>годов</w:t>
      </w:r>
      <w:r w:rsidRPr="00CC07F9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долгосрочной сбалансированности,устойчивости бюджетной системы и безусловное исполнение принятыхобязательств наиболее эффективным способом.</w:t>
      </w:r>
    </w:p>
    <w:p w:rsidR="000A5B61" w:rsidRPr="00CC07F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Для достижения данных целей предусматривается решение следующих</w:t>
      </w:r>
    </w:p>
    <w:p w:rsidR="000A5B61" w:rsidRPr="00CC07F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0A5B61" w:rsidRPr="00CC07F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31D9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программно-целевой принцип</w:t>
      </w:r>
      <w:r w:rsidRPr="001831D9">
        <w:rPr>
          <w:rFonts w:ascii="Times New Roman" w:hAnsi="Times New Roman"/>
          <w:sz w:val="28"/>
          <w:szCs w:val="28"/>
          <w:lang w:eastAsia="ru-RU"/>
        </w:rPr>
        <w:t xml:space="preserve"> организации деятельности органов исполнительной власти и к фо</w:t>
      </w:r>
      <w:r>
        <w:rPr>
          <w:rFonts w:ascii="Times New Roman" w:hAnsi="Times New Roman"/>
          <w:sz w:val="28"/>
          <w:szCs w:val="28"/>
          <w:lang w:eastAsia="ru-RU"/>
        </w:rPr>
        <w:t>рмированию программных бюджетов.</w:t>
      </w:r>
    </w:p>
    <w:p w:rsidR="000A5B61" w:rsidRPr="00CC07F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В целях создания условий для дальнейшей реализации программных</w:t>
      </w:r>
    </w:p>
    <w:p w:rsidR="000A5B61" w:rsidRPr="00CC07F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продуктов продолжится работа по совершенствованию нормативной базы,необходимой для программно-целевого планирования и реализации бюджета в «программном формате».</w:t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 xml:space="preserve">Дальнейшая реализация принципа формирования  бюджетана основе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C07F9">
        <w:rPr>
          <w:rFonts w:ascii="Times New Roman" w:hAnsi="Times New Roman"/>
          <w:sz w:val="28"/>
          <w:szCs w:val="28"/>
          <w:lang w:eastAsia="ru-RU"/>
        </w:rPr>
        <w:t>программ позволит повыситьобоснованность бюджетных ассигнований на этапе их формирования,обеспечит их прозрачность для общества и наличие широких возможностейдля оценки их эффективности.</w:t>
      </w:r>
    </w:p>
    <w:p w:rsidR="000A5B61" w:rsidRPr="00517C5A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17C5A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оказания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517C5A">
        <w:rPr>
          <w:rFonts w:ascii="Times New Roman" w:hAnsi="Times New Roman"/>
          <w:sz w:val="28"/>
          <w:szCs w:val="28"/>
          <w:lang w:eastAsia="ru-RU"/>
        </w:rPr>
        <w:t xml:space="preserve"> услуг.</w:t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В рамках решения данной задачи будет продолжена работа по созданиюстимулов для рационального и экономного использования бюджетныхсредств, в том числе при размещении заказов и исполнении обязательств,сокращению доли неэффективных бюджетных расходов.</w:t>
      </w:r>
    </w:p>
    <w:p w:rsidR="000A5B61" w:rsidRPr="00517C5A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17C5A">
        <w:rPr>
          <w:rFonts w:ascii="Times New Roman" w:hAnsi="Times New Roman"/>
          <w:sz w:val="28"/>
          <w:szCs w:val="28"/>
          <w:lang w:eastAsia="ru-RU"/>
        </w:rPr>
        <w:t>Совершенствование управления исполнением бюджета.</w:t>
      </w:r>
    </w:p>
    <w:p w:rsidR="000A5B61" w:rsidRPr="00517C5A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Управление исполнением бюджета в первую очередь ориентировано</w:t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на повышение эффективности использования бюджетных</w:t>
      </w:r>
      <w:r w:rsidRPr="00F109CD">
        <w:rPr>
          <w:rFonts w:ascii="Times New Roman" w:hAnsi="Times New Roman"/>
          <w:sz w:val="28"/>
          <w:szCs w:val="28"/>
          <w:lang w:eastAsia="ru-RU"/>
        </w:rPr>
        <w:t>средств, повышение качества управления средствами бюджета и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F109CD">
        <w:rPr>
          <w:rFonts w:ascii="Times New Roman" w:hAnsi="Times New Roman"/>
          <w:sz w:val="28"/>
          <w:szCs w:val="28"/>
          <w:lang w:eastAsia="ru-RU"/>
        </w:rPr>
        <w:t>трогое соблюдение бюджетной дисциплины всеми участниками бюджетногопроцесса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5B61" w:rsidRPr="002D7E00" w:rsidRDefault="000A5B61" w:rsidP="000A5B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E00">
        <w:rPr>
          <w:rFonts w:ascii="Times New Roman" w:hAnsi="Times New Roman"/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</w:t>
      </w:r>
      <w:r w:rsidRPr="002D7E00">
        <w:rPr>
          <w:rFonts w:ascii="Times New Roman" w:hAnsi="Times New Roman"/>
          <w:iCs/>
          <w:sz w:val="28"/>
          <w:szCs w:val="28"/>
          <w:lang w:eastAsia="ru-RU"/>
        </w:rPr>
        <w:t xml:space="preserve"> частности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</w:t>
      </w:r>
      <w:r w:rsidRPr="002D7E00">
        <w:rPr>
          <w:rFonts w:ascii="Times New Roman" w:hAnsi="Times New Roman"/>
          <w:sz w:val="28"/>
          <w:szCs w:val="28"/>
          <w:lang w:eastAsia="ru-RU"/>
        </w:rPr>
        <w:t>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</w:p>
    <w:p w:rsidR="000A5B61" w:rsidRPr="002D7E00" w:rsidRDefault="000A5B61" w:rsidP="000A5B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E00">
        <w:rPr>
          <w:rFonts w:ascii="Times New Roman" w:hAnsi="Times New Roman"/>
          <w:color w:val="000000"/>
          <w:sz w:val="28"/>
          <w:szCs w:val="28"/>
        </w:rPr>
        <w:t xml:space="preserve"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единых перечней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2D7E00">
        <w:rPr>
          <w:rFonts w:ascii="Times New Roman" w:hAnsi="Times New Roman"/>
          <w:color w:val="000000"/>
          <w:sz w:val="28"/>
          <w:szCs w:val="28"/>
        </w:rPr>
        <w:t xml:space="preserve"> услуг.</w:t>
      </w:r>
    </w:p>
    <w:p w:rsidR="000A5B61" w:rsidRPr="002D7E00" w:rsidRDefault="000A5B61" w:rsidP="000A5B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E0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Обеспечение принятых расходных обязательств источниками финансирования, а не увеличение новых расходных обязательств является необходимым условием реализации государственной политики в планируемом периоде. Поэтому </w:t>
      </w:r>
      <w:r>
        <w:rPr>
          <w:rFonts w:ascii="Times New Roman" w:hAnsi="Times New Roman"/>
          <w:bCs/>
          <w:color w:val="000000"/>
          <w:sz w:val="28"/>
          <w:szCs w:val="28"/>
        </w:rPr>
        <w:t>на 2023–2025</w:t>
      </w:r>
      <w:r w:rsidRPr="002D7E00">
        <w:rPr>
          <w:rFonts w:ascii="Times New Roman" w:hAnsi="Times New Roman"/>
          <w:bCs/>
          <w:color w:val="000000"/>
          <w:sz w:val="28"/>
          <w:szCs w:val="28"/>
        </w:rPr>
        <w:t xml:space="preserve"> годы устанавливается</w:t>
      </w:r>
      <w:r w:rsidRPr="002D7E00">
        <w:rPr>
          <w:rFonts w:ascii="Times New Roman" w:hAnsi="Times New Roman"/>
          <w:color w:val="000000"/>
          <w:sz w:val="28"/>
          <w:szCs w:val="28"/>
        </w:rPr>
        <w:t xml:space="preserve"> безусловный приоритет исполнения действующих обязательств. </w:t>
      </w:r>
    </w:p>
    <w:p w:rsidR="000A5B61" w:rsidRPr="007E178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Учитывая значительную долю межбюджетных трансфертов местным</w:t>
      </w:r>
    </w:p>
    <w:p w:rsidR="000A5B61" w:rsidRPr="007E178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бюджетам в расходах областного бюджета, будут реализовываться следующиенаправления:</w:t>
      </w:r>
    </w:p>
    <w:p w:rsidR="000A5B61" w:rsidRPr="007E178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эффективности расходов местныхбюджетов и разработка комплекса мер по укреплению финансовой дисциплины,</w:t>
      </w:r>
    </w:p>
    <w:p w:rsidR="000A5B61" w:rsidRPr="007E178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соблюдению органами местного самоуправления требований 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законодательства</w:t>
      </w:r>
      <w:r w:rsidRPr="007E1789">
        <w:rPr>
          <w:rFonts w:ascii="Times New Roman" w:hAnsi="Times New Roman"/>
          <w:sz w:val="28"/>
          <w:szCs w:val="28"/>
          <w:lang w:eastAsia="ru-RU"/>
        </w:rPr>
        <w:t>;</w:t>
      </w:r>
    </w:p>
    <w:p w:rsidR="000A5B61" w:rsidRPr="007E1789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минимизация (исключение) неиспользованных остатков целевыхсредств в местных бюджетах.</w:t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Повышение эффективности бюджетных расходов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5B61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5B61" w:rsidRPr="006E2836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83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6E2836">
        <w:rPr>
          <w:rFonts w:ascii="Times New Roman" w:hAnsi="Times New Roman"/>
          <w:sz w:val="28"/>
          <w:szCs w:val="28"/>
        </w:rPr>
        <w:t xml:space="preserve"> году была продолжена реализация мероприятий согласно Указам Президента Российской Федерации от 7 мая 2012 года № 597–606 (далее – Указы Президента), а также новых векторов, обозначенных в Указе Президента Российской Федерации от 7 мая 2018 года № 204 «О национальных целях и стратегических задачах развития Российской Федерации на период до 2024 года», и исполнение в полном объеме принятых социальных обязательств. </w:t>
      </w:r>
    </w:p>
    <w:p w:rsidR="000A5B61" w:rsidRPr="00993AD3" w:rsidRDefault="000A5B61" w:rsidP="000A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8C">
        <w:rPr>
          <w:rFonts w:ascii="Times New Roman" w:hAnsi="Times New Roman"/>
          <w:sz w:val="28"/>
          <w:szCs w:val="28"/>
        </w:rPr>
        <w:t>Размер финансовой помощи, оказанной бюджетам поселений для обеспечения повышения о</w:t>
      </w:r>
      <w:r>
        <w:rPr>
          <w:rFonts w:ascii="Times New Roman" w:hAnsi="Times New Roman"/>
          <w:sz w:val="28"/>
          <w:szCs w:val="28"/>
        </w:rPr>
        <w:t>платы труда работников культуры</w:t>
      </w:r>
      <w:r w:rsidRPr="00610F8C">
        <w:rPr>
          <w:rFonts w:ascii="Times New Roman" w:hAnsi="Times New Roman"/>
          <w:sz w:val="28"/>
          <w:szCs w:val="28"/>
        </w:rPr>
        <w:t xml:space="preserve"> в 2021 году составил </w:t>
      </w:r>
      <w:r>
        <w:rPr>
          <w:rFonts w:ascii="Times New Roman" w:hAnsi="Times New Roman"/>
          <w:sz w:val="28"/>
          <w:szCs w:val="28"/>
        </w:rPr>
        <w:t>332</w:t>
      </w:r>
      <w:r w:rsidRPr="00610F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10F8C">
        <w:rPr>
          <w:rFonts w:ascii="Times New Roman" w:hAnsi="Times New Roman"/>
          <w:sz w:val="28"/>
          <w:szCs w:val="28"/>
        </w:rPr>
        <w:t xml:space="preserve"> тыс. рублей.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ближайших лет по повышению эффективности бюджетных расходов являются: 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повышение эффективности и результативности имеющихся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</w:t>
      </w:r>
      <w:r w:rsidRPr="003F5824">
        <w:rPr>
          <w:rFonts w:ascii="Times New Roman" w:hAnsi="Times New Roman"/>
          <w:sz w:val="28"/>
          <w:szCs w:val="28"/>
          <w:lang w:eastAsia="ru-RU"/>
        </w:rPr>
        <w:t>ментов программно-целевого управления и бюджетирования;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повышения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услуг;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должны 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муниципальные 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программы. 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Развитие методологии разработки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программ, повышение качества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, эффективности их реализации будет производиться по следующим направлениям: 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обязательное отражение в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программах показателей стратегических документов и их целевых значений, что должно обеспечить полное соответствие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 приоритетам политики </w:t>
      </w:r>
      <w:r>
        <w:rPr>
          <w:rFonts w:ascii="Times New Roman" w:hAnsi="Times New Roman"/>
          <w:sz w:val="28"/>
          <w:szCs w:val="28"/>
          <w:lang w:eastAsia="ru-RU"/>
        </w:rPr>
        <w:t>поселений</w:t>
      </w:r>
      <w:r w:rsidRPr="003F5824">
        <w:rPr>
          <w:rFonts w:ascii="Times New Roman" w:hAnsi="Times New Roman"/>
          <w:sz w:val="28"/>
          <w:szCs w:val="28"/>
          <w:lang w:eastAsia="ru-RU"/>
        </w:rPr>
        <w:t>;</w:t>
      </w:r>
    </w:p>
    <w:p w:rsidR="000A5B61" w:rsidRPr="003F5824" w:rsidRDefault="000A5B61" w:rsidP="000A5B6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обеспечение полноты отражения всего комплекса мер и инструментов политики (налоговых льгот, мер тарифного регулирования, нормативного регулирования, участия в управлении организациями и предприятиями); </w:t>
      </w:r>
    </w:p>
    <w:p w:rsidR="000A5B61" w:rsidRPr="001E44D7" w:rsidRDefault="000A5B61" w:rsidP="000A5B6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4D7">
        <w:rPr>
          <w:rFonts w:ascii="Times New Roman" w:hAnsi="Times New Roman"/>
          <w:color w:val="000000"/>
          <w:sz w:val="28"/>
          <w:szCs w:val="28"/>
        </w:rPr>
        <w:t>В условиях экономии бюджетных средств одним из важных направлений бюджетной политики в текущем финансовом году и на предстоящую трехлетку будет являться обеспечение без дефицитности бюджета, как по плановым значениям, так и по фактическим.</w:t>
      </w:r>
    </w:p>
    <w:p w:rsidR="000A5B61" w:rsidRDefault="000A5B61" w:rsidP="000A5B61">
      <w:pPr>
        <w:tabs>
          <w:tab w:val="left" w:pos="387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tabs>
          <w:tab w:val="left" w:pos="387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B61" w:rsidRDefault="000A5B61" w:rsidP="000A5B61">
      <w:pPr>
        <w:tabs>
          <w:tab w:val="left" w:pos="3870"/>
        </w:tabs>
        <w:jc w:val="both"/>
        <w:rPr>
          <w:rFonts w:ascii="Times New Roman" w:hAnsi="Times New Roman"/>
          <w:sz w:val="28"/>
          <w:szCs w:val="28"/>
          <w:lang w:eastAsia="ru-RU"/>
        </w:rPr>
        <w:sectPr w:rsidR="000A5B61" w:rsidSect="009004C5">
          <w:headerReference w:type="default" r:id="rId7"/>
          <w:pgSz w:w="11906" w:h="16838"/>
          <w:pgMar w:top="1134" w:right="386" w:bottom="1134" w:left="1701" w:header="709" w:footer="709" w:gutter="0"/>
          <w:cols w:space="708"/>
          <w:docGrid w:linePitch="360"/>
        </w:sectPr>
      </w:pPr>
    </w:p>
    <w:p w:rsidR="000A5B61" w:rsidRDefault="000A5B61" w:rsidP="000A5B61">
      <w:pPr>
        <w:tabs>
          <w:tab w:val="left" w:pos="11057"/>
        </w:tabs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0A5B61" w:rsidRPr="00025413" w:rsidRDefault="000A5B61" w:rsidP="00007D8F">
      <w:pPr>
        <w:framePr w:w="10607" w:hSpace="180" w:wrap="around" w:vAnchor="text" w:hAnchor="page" w:x="6237" w:y="23"/>
        <w:tabs>
          <w:tab w:val="left" w:pos="945"/>
        </w:tabs>
        <w:spacing w:after="0" w:line="240" w:lineRule="auto"/>
        <w:ind w:right="397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ab/>
      </w:r>
      <w:r w:rsidR="00007D8F">
        <w:rPr>
          <w:b/>
          <w:bCs/>
          <w:sz w:val="28"/>
          <w:szCs w:val="28"/>
        </w:rPr>
        <w:t xml:space="preserve">                   </w:t>
      </w:r>
      <w:r w:rsidRPr="00025413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0A5B61" w:rsidRDefault="00007D8F" w:rsidP="00007D8F">
      <w:pPr>
        <w:framePr w:w="10607" w:hSpace="180" w:wrap="around" w:vAnchor="text" w:hAnchor="page" w:x="6237" w:y="23"/>
        <w:tabs>
          <w:tab w:val="left" w:pos="945"/>
        </w:tabs>
        <w:spacing w:after="0" w:line="240" w:lineRule="auto"/>
        <w:ind w:right="397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A5B61" w:rsidRPr="00025413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0A5B61" w:rsidRDefault="000A5B61" w:rsidP="00007D8F">
      <w:pPr>
        <w:framePr w:w="10607" w:hSpace="180" w:wrap="around" w:vAnchor="text" w:hAnchor="page" w:x="6237" w:y="23"/>
        <w:tabs>
          <w:tab w:val="left" w:pos="945"/>
          <w:tab w:val="left" w:pos="9072"/>
        </w:tabs>
        <w:spacing w:after="0" w:line="240" w:lineRule="auto"/>
        <w:ind w:left="5387" w:right="8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413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Раздольный сельсовет </w:t>
      </w:r>
      <w:r w:rsidRPr="00025413">
        <w:rPr>
          <w:rFonts w:ascii="Times New Roman" w:hAnsi="Times New Roman"/>
          <w:bCs/>
          <w:sz w:val="24"/>
          <w:szCs w:val="24"/>
        </w:rPr>
        <w:t xml:space="preserve"> Беляевского района Оренбургской области</w:t>
      </w:r>
      <w:r w:rsidR="00C83E08">
        <w:rPr>
          <w:rFonts w:ascii="Times New Roman" w:hAnsi="Times New Roman"/>
          <w:sz w:val="24"/>
          <w:szCs w:val="24"/>
          <w:lang w:eastAsia="ru-RU"/>
        </w:rPr>
        <w:t xml:space="preserve">  от 14</w:t>
      </w:r>
      <w:r>
        <w:rPr>
          <w:rFonts w:ascii="Times New Roman" w:hAnsi="Times New Roman"/>
          <w:sz w:val="24"/>
          <w:szCs w:val="24"/>
          <w:lang w:eastAsia="ru-RU"/>
        </w:rPr>
        <w:t xml:space="preserve"> .11.2022  №-49п</w:t>
      </w:r>
    </w:p>
    <w:p w:rsidR="000A5B61" w:rsidRDefault="000A5B61" w:rsidP="000A5B61">
      <w:pPr>
        <w:framePr w:w="10607" w:hSpace="180" w:wrap="around" w:vAnchor="text" w:hAnchor="page" w:x="6237" w:y="23"/>
        <w:tabs>
          <w:tab w:val="left" w:pos="945"/>
        </w:tabs>
        <w:spacing w:after="0" w:line="240" w:lineRule="auto"/>
        <w:ind w:right="397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5B61" w:rsidRDefault="000A5B61" w:rsidP="000A5B61">
      <w:pPr>
        <w:framePr w:w="10607" w:hSpace="180" w:wrap="around" w:vAnchor="text" w:hAnchor="page" w:x="6237" w:y="23"/>
        <w:tabs>
          <w:tab w:val="left" w:pos="945"/>
        </w:tabs>
        <w:spacing w:after="0" w:line="240" w:lineRule="auto"/>
        <w:ind w:right="397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5B61" w:rsidRPr="00025413" w:rsidRDefault="000A5B61" w:rsidP="000A5B61">
      <w:pPr>
        <w:framePr w:w="10607" w:hSpace="180" w:wrap="around" w:vAnchor="text" w:hAnchor="page" w:x="6237" w:y="23"/>
        <w:tabs>
          <w:tab w:val="left" w:pos="945"/>
        </w:tabs>
        <w:spacing w:after="0" w:line="240" w:lineRule="auto"/>
        <w:ind w:right="397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5B61" w:rsidRDefault="000A5B61" w:rsidP="000A5B61">
      <w:pPr>
        <w:tabs>
          <w:tab w:val="left" w:pos="12240"/>
        </w:tabs>
        <w:rPr>
          <w:b/>
          <w:bCs/>
          <w:sz w:val="28"/>
          <w:szCs w:val="28"/>
        </w:rPr>
      </w:pPr>
    </w:p>
    <w:p w:rsidR="000A5B61" w:rsidRDefault="000A5B61" w:rsidP="000A5B61">
      <w:pPr>
        <w:tabs>
          <w:tab w:val="left" w:pos="11700"/>
        </w:tabs>
        <w:rPr>
          <w:b/>
          <w:bCs/>
          <w:sz w:val="28"/>
          <w:szCs w:val="28"/>
        </w:rPr>
      </w:pPr>
    </w:p>
    <w:p w:rsidR="000A5B61" w:rsidRDefault="000A5B61" w:rsidP="000A5B61">
      <w:pPr>
        <w:tabs>
          <w:tab w:val="left" w:pos="11700"/>
        </w:tabs>
        <w:rPr>
          <w:b/>
          <w:bCs/>
          <w:sz w:val="28"/>
          <w:szCs w:val="28"/>
        </w:rPr>
      </w:pPr>
    </w:p>
    <w:p w:rsidR="000A5B61" w:rsidRDefault="000A5B61" w:rsidP="000A5B61">
      <w:pPr>
        <w:tabs>
          <w:tab w:val="left" w:pos="11700"/>
        </w:tabs>
        <w:rPr>
          <w:b/>
          <w:bCs/>
          <w:sz w:val="28"/>
          <w:szCs w:val="28"/>
        </w:rPr>
      </w:pPr>
    </w:p>
    <w:p w:rsidR="00007D8F" w:rsidRDefault="00007D8F" w:rsidP="000A5B61">
      <w:pPr>
        <w:tabs>
          <w:tab w:val="left" w:pos="11700"/>
        </w:tabs>
        <w:rPr>
          <w:b/>
          <w:bCs/>
          <w:sz w:val="28"/>
          <w:szCs w:val="28"/>
        </w:rPr>
      </w:pPr>
    </w:p>
    <w:p w:rsidR="000A5B61" w:rsidRDefault="000A5B61" w:rsidP="00007D8F">
      <w:pPr>
        <w:tabs>
          <w:tab w:val="left" w:pos="38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37998">
        <w:rPr>
          <w:rFonts w:ascii="Times New Roman" w:hAnsi="Times New Roman"/>
          <w:b/>
          <w:bCs/>
          <w:sz w:val="28"/>
          <w:szCs w:val="28"/>
        </w:rPr>
        <w:t xml:space="preserve">Основные показатели проекта бюджета муниципального образования </w:t>
      </w:r>
      <w:r w:rsidRPr="00250D97">
        <w:rPr>
          <w:rFonts w:ascii="Times New Roman" w:hAnsi="Times New Roman"/>
          <w:b/>
          <w:bCs/>
          <w:sz w:val="28"/>
          <w:szCs w:val="28"/>
        </w:rPr>
        <w:t>Раздольный сельсовет</w:t>
      </w:r>
    </w:p>
    <w:tbl>
      <w:tblPr>
        <w:tblW w:w="14992" w:type="dxa"/>
        <w:tblLook w:val="01E0"/>
      </w:tblPr>
      <w:tblGrid>
        <w:gridCol w:w="3430"/>
        <w:gridCol w:w="7219"/>
        <w:gridCol w:w="1537"/>
        <w:gridCol w:w="1497"/>
        <w:gridCol w:w="1309"/>
      </w:tblGrid>
      <w:tr w:rsidR="000A5B61" w:rsidRPr="00523106" w:rsidTr="00DC6C2E">
        <w:trPr>
          <w:trHeight w:val="6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Код бюджетнойклассификации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837,40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858,80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879,50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00010102010011000110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337,10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161,30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="00007D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0955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145,2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161,30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lastRenderedPageBreak/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194,80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A0955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179,40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194,80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lastRenderedPageBreak/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lastRenderedPageBreak/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</w:t>
            </w:r>
          </w:p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в государственной и муниципальной 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3482,70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3157,50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3180,40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3482,70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3157,50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3180,40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3354,20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3041,0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00020215001000000150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00020215001100000150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 бюджетной обеспеченности из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 w:rsidRPr="00523106">
              <w:rPr>
                <w:rFonts w:ascii="Times New Roman" w:hAnsi="Times New Roman"/>
                <w:sz w:val="28"/>
                <w:szCs w:val="28"/>
              </w:rPr>
              <w:t>00020230000000000150</w:t>
            </w:r>
          </w:p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00020235118100000150</w:t>
            </w:r>
          </w:p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5A0955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lastRenderedPageBreak/>
              <w:t>00020229999000000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310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0002022999910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52310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Прочие субсидии  бюджетам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4320,10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4016,30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4059,90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2197,0</w:t>
            </w:r>
          </w:p>
        </w:tc>
      </w:tr>
      <w:tr w:rsidR="000A5B61" w:rsidRPr="00523106" w:rsidTr="00DC6C2E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613,0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613,0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613,0</w:t>
            </w:r>
          </w:p>
        </w:tc>
      </w:tr>
      <w:tr w:rsidR="000A5B61" w:rsidRPr="00523106" w:rsidTr="00DC6C2E">
        <w:trPr>
          <w:trHeight w:val="8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1157,9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1157,9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1157,9</w:t>
            </w:r>
          </w:p>
        </w:tc>
      </w:tr>
      <w:tr w:rsidR="000A5B61" w:rsidRPr="00523106" w:rsidTr="00DC6C2E">
        <w:trPr>
          <w:trHeight w:val="6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346,2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346,2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346,2</w:t>
            </w:r>
          </w:p>
        </w:tc>
      </w:tr>
      <w:tr w:rsidR="000A5B61" w:rsidRPr="00523106" w:rsidTr="00DC6C2E">
        <w:trPr>
          <w:trHeight w:val="5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5B61" w:rsidRPr="00523106" w:rsidTr="00DC6C2E">
        <w:trPr>
          <w:trHeight w:val="5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A5B61" w:rsidRPr="00523106" w:rsidTr="00DC6C2E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0A5B61" w:rsidRPr="00523106" w:rsidTr="00DC6C2E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0A5B61" w:rsidRPr="006F45F8" w:rsidTr="00DC6C2E">
        <w:trPr>
          <w:trHeight w:val="5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253,2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253,2</w:t>
            </w:r>
          </w:p>
        </w:tc>
      </w:tr>
      <w:tr w:rsidR="000A5B61" w:rsidRPr="006F45F8" w:rsidTr="00DC6C2E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253,2</w:t>
            </w:r>
          </w:p>
        </w:tc>
      </w:tr>
      <w:tr w:rsidR="000A5B61" w:rsidRPr="006F45F8" w:rsidTr="00DC6C2E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lastRenderedPageBreak/>
              <w:t>0400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651,3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</w:tr>
      <w:tr w:rsidR="000A5B61" w:rsidRPr="006F45F8" w:rsidTr="00DC6C2E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A5B61" w:rsidRPr="006F45F8" w:rsidTr="00DC6C2E">
        <w:trPr>
          <w:trHeight w:val="4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155,6</w:t>
            </w:r>
          </w:p>
        </w:tc>
      </w:tr>
      <w:tr w:rsidR="000A5B61" w:rsidRPr="006F45F8" w:rsidTr="00DC6C2E">
        <w:trPr>
          <w:trHeight w:val="4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5B61" w:rsidRPr="006F45F8" w:rsidTr="00DC6C2E">
        <w:trPr>
          <w:trHeight w:val="5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</w:tr>
      <w:tr w:rsidR="000A5B61" w:rsidRPr="006F45F8" w:rsidTr="00DC6C2E">
        <w:trPr>
          <w:trHeight w:val="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714,7</w:t>
            </w:r>
          </w:p>
        </w:tc>
      </w:tr>
      <w:tr w:rsidR="000A5B61" w:rsidRPr="006F45F8" w:rsidTr="00DC6C2E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106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714,7</w:t>
            </w:r>
          </w:p>
        </w:tc>
      </w:tr>
      <w:tr w:rsidR="000A5B61" w:rsidRPr="006F45F8" w:rsidTr="00DC6C2E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23106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Условно-утвержденные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A5B61" w:rsidRPr="006F45F8" w:rsidTr="00DC6C2E">
        <w:trPr>
          <w:trHeight w:val="86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5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  <w:p w:rsidR="000A5B61" w:rsidRPr="005A0955" w:rsidRDefault="000A5B61" w:rsidP="00DC6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4320,1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4016,3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61" w:rsidRPr="006F45F8" w:rsidRDefault="000A5B61" w:rsidP="00DC6C2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4059,9</w:t>
            </w:r>
          </w:p>
        </w:tc>
      </w:tr>
    </w:tbl>
    <w:p w:rsidR="000A5B61" w:rsidRDefault="000A5B61" w:rsidP="000A5B61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</w:pPr>
    </w:p>
    <w:p w:rsidR="00D516A6" w:rsidRDefault="00D516A6"/>
    <w:sectPr w:rsidR="00D516A6" w:rsidSect="005A0955">
      <w:pgSz w:w="16838" w:h="11906" w:orient="landscape" w:code="9"/>
      <w:pgMar w:top="572" w:right="1134" w:bottom="38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BB" w:rsidRDefault="00BB2DBB" w:rsidP="00006938">
      <w:pPr>
        <w:spacing w:after="0" w:line="240" w:lineRule="auto"/>
      </w:pPr>
      <w:r>
        <w:separator/>
      </w:r>
    </w:p>
  </w:endnote>
  <w:endnote w:type="continuationSeparator" w:id="1">
    <w:p w:rsidR="00BB2DBB" w:rsidRDefault="00BB2DBB" w:rsidP="000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BB" w:rsidRDefault="00BB2DBB" w:rsidP="00006938">
      <w:pPr>
        <w:spacing w:after="0" w:line="240" w:lineRule="auto"/>
      </w:pPr>
      <w:r>
        <w:separator/>
      </w:r>
    </w:p>
  </w:footnote>
  <w:footnote w:type="continuationSeparator" w:id="1">
    <w:p w:rsidR="00BB2DBB" w:rsidRDefault="00BB2DBB" w:rsidP="0000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55" w:rsidRDefault="00007D8F" w:rsidP="005A0955">
    <w:pPr>
      <w:pStyle w:val="a3"/>
      <w:tabs>
        <w:tab w:val="clear" w:pos="4677"/>
        <w:tab w:val="clear" w:pos="9355"/>
        <w:tab w:val="left" w:pos="10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Cs/>
        <w:sz w:val="28"/>
        <w:szCs w:val="28"/>
      </w:rPr>
    </w:lvl>
  </w:abstractNum>
  <w:abstractNum w:abstractNumId="1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B61"/>
    <w:rsid w:val="00006938"/>
    <w:rsid w:val="00007D8F"/>
    <w:rsid w:val="000A5B61"/>
    <w:rsid w:val="000C0CF4"/>
    <w:rsid w:val="00BB2DBB"/>
    <w:rsid w:val="00C43578"/>
    <w:rsid w:val="00C83E08"/>
    <w:rsid w:val="00CC34F8"/>
    <w:rsid w:val="00D5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B61"/>
    <w:rPr>
      <w:rFonts w:ascii="Calibri" w:eastAsia="Calibri" w:hAnsi="Calibri" w:cs="Times New Roman"/>
    </w:rPr>
  </w:style>
  <w:style w:type="paragraph" w:customStyle="1" w:styleId="Default">
    <w:name w:val="Default"/>
    <w:rsid w:val="000A5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0A5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0A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rkedcontent">
    <w:name w:val="markedcontent"/>
    <w:rsid w:val="000A5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cp:lastPrinted>2022-11-22T10:29:00Z</cp:lastPrinted>
  <dcterms:created xsi:type="dcterms:W3CDTF">2022-11-22T09:15:00Z</dcterms:created>
  <dcterms:modified xsi:type="dcterms:W3CDTF">2022-11-25T05:04:00Z</dcterms:modified>
</cp:coreProperties>
</file>